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73D7F" w:rsidR="00007EF9" w:rsidP="00007EF9" w:rsidRDefault="0098050E" w14:paraId="43460AD8" wp14:textId="77777777">
      <w:pPr>
        <w:tabs>
          <w:tab w:val="left" w:pos="7513"/>
        </w:tabs>
        <w:spacing w:after="0" w:line="240" w:lineRule="auto"/>
        <w:jc w:val="center"/>
        <w:rPr>
          <w:b/>
          <w:sz w:val="36"/>
          <w:szCs w:val="21"/>
          <w:u w:val="single"/>
        </w:rPr>
      </w:pPr>
      <w:bookmarkStart w:name="_GoBack" w:id="0"/>
      <w:bookmarkEnd w:id="0"/>
      <w:r>
        <w:rPr>
          <w:b/>
          <w:sz w:val="36"/>
          <w:szCs w:val="21"/>
          <w:u w:val="single"/>
        </w:rPr>
        <w:t>English</w:t>
      </w:r>
      <w:r w:rsidR="0023319A">
        <w:rPr>
          <w:b/>
          <w:sz w:val="36"/>
          <w:szCs w:val="21"/>
          <w:u w:val="single"/>
        </w:rPr>
        <w:t xml:space="preserve"> GCSE </w:t>
      </w:r>
      <w:r w:rsidRPr="00F73D7F" w:rsidR="00007EF9">
        <w:rPr>
          <w:b/>
          <w:sz w:val="36"/>
          <w:szCs w:val="21"/>
          <w:u w:val="single"/>
        </w:rPr>
        <w:t>Revision Guidance</w:t>
      </w:r>
    </w:p>
    <w:p xmlns:wp14="http://schemas.microsoft.com/office/word/2010/wordml" w:rsidRPr="00F73D7F" w:rsidR="00007EF9" w:rsidP="00007EF9" w:rsidRDefault="00007EF9" w14:paraId="672A6659" wp14:textId="77777777">
      <w:pPr>
        <w:tabs>
          <w:tab w:val="left" w:pos="7513"/>
        </w:tabs>
        <w:spacing w:after="0" w:line="240" w:lineRule="auto"/>
        <w:jc w:val="center"/>
        <w:rPr>
          <w:b/>
          <w:sz w:val="10"/>
          <w:szCs w:val="21"/>
          <w:u w:val="single"/>
        </w:rPr>
      </w:pPr>
    </w:p>
    <w:p xmlns:wp14="http://schemas.microsoft.com/office/word/2010/wordml" w:rsidRPr="00F73D7F" w:rsidR="00007EF9" w:rsidP="00007EF9" w:rsidRDefault="00007EF9" w14:paraId="0A37501D" wp14:textId="77777777">
      <w:pPr>
        <w:tabs>
          <w:tab w:val="left" w:pos="7513"/>
        </w:tabs>
        <w:spacing w:after="0" w:line="240" w:lineRule="auto"/>
        <w:rPr>
          <w:sz w:val="12"/>
          <w:szCs w:val="21"/>
        </w:rPr>
      </w:pPr>
    </w:p>
    <w:p xmlns:wp14="http://schemas.microsoft.com/office/word/2010/wordml" w:rsidRPr="00F73D7F" w:rsidR="009522EF" w:rsidP="00007EF9" w:rsidRDefault="009522EF" w14:paraId="0ABE7C8D" wp14:textId="77777777">
      <w:pPr>
        <w:tabs>
          <w:tab w:val="left" w:pos="7513"/>
        </w:tabs>
        <w:spacing w:after="0" w:line="240" w:lineRule="auto"/>
        <w:rPr>
          <w:szCs w:val="21"/>
        </w:rPr>
      </w:pPr>
      <w:r w:rsidRPr="00F73D7F">
        <w:rPr>
          <w:szCs w:val="21"/>
        </w:rPr>
        <w:t xml:space="preserve">Year 11 have </w:t>
      </w:r>
      <w:r w:rsidR="0098050E">
        <w:rPr>
          <w:szCs w:val="21"/>
        </w:rPr>
        <w:t>covered all</w:t>
      </w:r>
      <w:r w:rsidRPr="00F73D7F">
        <w:rPr>
          <w:szCs w:val="21"/>
        </w:rPr>
        <w:t xml:space="preserve"> of the content for their GCSE </w:t>
      </w:r>
      <w:r w:rsidR="0098050E">
        <w:rPr>
          <w:szCs w:val="21"/>
        </w:rPr>
        <w:t xml:space="preserve">English Language and English Literature courses. </w:t>
      </w:r>
      <w:r w:rsidRPr="00F73D7F">
        <w:rPr>
          <w:szCs w:val="21"/>
        </w:rPr>
        <w:t xml:space="preserve">Their GCSE grade will come entirely from exams in June. Whether they have done well or not in their PPE exams for GCSE </w:t>
      </w:r>
      <w:r w:rsidR="00D92818">
        <w:rPr>
          <w:szCs w:val="21"/>
        </w:rPr>
        <w:t>English</w:t>
      </w:r>
      <w:r w:rsidRPr="00F73D7F">
        <w:rPr>
          <w:szCs w:val="21"/>
        </w:rPr>
        <w:t>, nothing is guaranteed. What students do in the next 5 months will be hugely import</w:t>
      </w:r>
      <w:r w:rsidR="00177784">
        <w:rPr>
          <w:szCs w:val="21"/>
        </w:rPr>
        <w:t>ant for their outcome in August.</w:t>
      </w:r>
    </w:p>
    <w:p xmlns:wp14="http://schemas.microsoft.com/office/word/2010/wordml" w:rsidRPr="00F73D7F" w:rsidR="009522EF" w:rsidP="00007EF9" w:rsidRDefault="009522EF" w14:paraId="5DAB6C7B" wp14:textId="77777777">
      <w:pPr>
        <w:tabs>
          <w:tab w:val="left" w:pos="7513"/>
        </w:tabs>
        <w:spacing w:after="0" w:line="240" w:lineRule="auto"/>
        <w:rPr>
          <w:sz w:val="8"/>
          <w:szCs w:val="21"/>
        </w:rPr>
      </w:pPr>
    </w:p>
    <w:p xmlns:wp14="http://schemas.microsoft.com/office/word/2010/wordml" w:rsidRPr="00136004" w:rsidR="009522EF" w:rsidP="00007EF9" w:rsidRDefault="00136004" w14:paraId="0E77C2AC" wp14:textId="77777777">
      <w:pPr>
        <w:tabs>
          <w:tab w:val="left" w:pos="7513"/>
        </w:tabs>
        <w:spacing w:after="0" w:line="240" w:lineRule="auto"/>
        <w:rPr>
          <w:szCs w:val="21"/>
        </w:rPr>
      </w:pPr>
      <w:r w:rsidRPr="00136004">
        <w:rPr>
          <w:szCs w:val="21"/>
        </w:rPr>
        <w:t>Students will sit the following papers</w:t>
      </w:r>
      <w:r w:rsidRPr="00136004" w:rsidR="009522EF">
        <w:rPr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05"/>
        <w:gridCol w:w="2513"/>
        <w:gridCol w:w="2514"/>
      </w:tblGrid>
      <w:tr xmlns:wp14="http://schemas.microsoft.com/office/word/2010/wordml" w:rsidRPr="00F73D7F" w:rsidR="00411CDE" w:rsidTr="009D41C3" w14:paraId="0A43CE9E" wp14:textId="77777777">
        <w:tc>
          <w:tcPr>
            <w:tcW w:w="5027" w:type="dxa"/>
            <w:gridSpan w:val="2"/>
            <w:shd w:val="clear" w:color="auto" w:fill="C6D9F1" w:themeFill="text2" w:themeFillTint="33"/>
          </w:tcPr>
          <w:p w:rsidRPr="00136004" w:rsidR="00411CDE" w:rsidP="00136004" w:rsidRDefault="00411CDE" w14:paraId="7EEE7D30" wp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6004">
              <w:rPr>
                <w:rFonts w:asciiTheme="minorHAnsi" w:hAnsiTheme="minorHAnsi" w:cstheme="minorHAnsi"/>
                <w:b/>
                <w:bCs/>
              </w:rPr>
              <w:t>English Literature</w:t>
            </w:r>
          </w:p>
        </w:tc>
        <w:tc>
          <w:tcPr>
            <w:tcW w:w="5027" w:type="dxa"/>
            <w:gridSpan w:val="2"/>
            <w:shd w:val="clear" w:color="auto" w:fill="FFFF00"/>
            <w:vAlign w:val="center"/>
          </w:tcPr>
          <w:p w:rsidRPr="00136004" w:rsidR="00411CDE" w:rsidP="00136004" w:rsidRDefault="00411CDE" w14:paraId="0E93AA69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004">
              <w:rPr>
                <w:rFonts w:asciiTheme="minorHAnsi" w:hAnsiTheme="minorHAnsi" w:cstheme="minorHAnsi"/>
                <w:b/>
              </w:rPr>
              <w:t>English Language</w:t>
            </w:r>
          </w:p>
        </w:tc>
      </w:tr>
      <w:tr xmlns:wp14="http://schemas.microsoft.com/office/word/2010/wordml" w:rsidRPr="00F73D7F" w:rsidR="00D92818" w:rsidTr="00411CDE" w14:paraId="3F5F9B86" wp14:textId="77777777">
        <w:tc>
          <w:tcPr>
            <w:tcW w:w="2122" w:type="dxa"/>
            <w:shd w:val="clear" w:color="auto" w:fill="C6D9F1" w:themeFill="text2" w:themeFillTint="33"/>
          </w:tcPr>
          <w:p w:rsidRPr="00136004" w:rsidR="00D92818" w:rsidP="00411CDE" w:rsidRDefault="00D92818" w14:paraId="14FC7FD9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u w:val="single"/>
              </w:rPr>
            </w:pPr>
            <w:r w:rsidRPr="00136004">
              <w:rPr>
                <w:rFonts w:asciiTheme="minorHAnsi" w:hAnsiTheme="minorHAnsi"/>
                <w:bCs/>
                <w:sz w:val="22"/>
                <w:u w:val="single"/>
              </w:rPr>
              <w:t xml:space="preserve">Paper 1: </w:t>
            </w:r>
          </w:p>
          <w:p w:rsidR="00411CDE" w:rsidP="00411CDE" w:rsidRDefault="00411CDE" w14:paraId="02EB378F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</w:rPr>
            </w:pPr>
          </w:p>
          <w:p w:rsidR="00411CDE" w:rsidP="00411CDE" w:rsidRDefault="00411CDE" w14:paraId="75C2901C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/>
                <w:bCs/>
                <w:iCs/>
                <w:sz w:val="22"/>
              </w:rPr>
              <w:t>A</w:t>
            </w:r>
            <w:r w:rsidR="00D92818">
              <w:rPr>
                <w:rFonts w:asciiTheme="minorHAnsi" w:hAnsiTheme="minorHAnsi"/>
                <w:bCs/>
                <w:iCs/>
                <w:sz w:val="22"/>
              </w:rPr>
              <w:t xml:space="preserve">: </w:t>
            </w:r>
            <w:r w:rsidRPr="00411CDE">
              <w:rPr>
                <w:rFonts w:asciiTheme="minorHAnsi" w:hAnsiTheme="minorHAnsi"/>
                <w:bCs/>
                <w:i/>
                <w:iCs/>
                <w:sz w:val="22"/>
              </w:rPr>
              <w:t>Macbeth</w:t>
            </w:r>
          </w:p>
          <w:p w:rsidRPr="00411CDE" w:rsidR="00411CDE" w:rsidP="00411CDE" w:rsidRDefault="00411CDE" w14:paraId="5FA6B84D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</w:rPr>
            </w:pPr>
            <w:r w:rsidRPr="00411CDE">
              <w:rPr>
                <w:rFonts w:asciiTheme="minorHAnsi" w:hAnsiTheme="minorHAnsi"/>
                <w:bCs/>
                <w:iCs/>
                <w:sz w:val="20"/>
              </w:rPr>
              <w:t xml:space="preserve">(4 marks SPAG) </w:t>
            </w:r>
          </w:p>
          <w:p w:rsidR="00D92818" w:rsidP="00411CDE" w:rsidRDefault="00411CDE" w14:paraId="55D1AB7D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</w:rPr>
            </w:pPr>
            <w:r>
              <w:rPr>
                <w:rFonts w:asciiTheme="minorHAnsi" w:hAnsiTheme="minorHAnsi"/>
                <w:bCs/>
                <w:iCs/>
                <w:sz w:val="22"/>
              </w:rPr>
              <w:t>B</w:t>
            </w:r>
            <w:r w:rsidR="00D92818">
              <w:rPr>
                <w:rFonts w:asciiTheme="minorHAnsi" w:hAnsiTheme="minorHAnsi"/>
                <w:bCs/>
                <w:iCs/>
                <w:sz w:val="22"/>
              </w:rPr>
              <w:t xml:space="preserve">: </w:t>
            </w:r>
            <w:r w:rsidRPr="00411CDE">
              <w:rPr>
                <w:rFonts w:asciiTheme="minorHAnsi" w:hAnsiTheme="minorHAnsi"/>
                <w:bCs/>
                <w:i/>
                <w:iCs/>
                <w:sz w:val="22"/>
              </w:rPr>
              <w:t>A Christmas Carol</w:t>
            </w:r>
          </w:p>
          <w:p w:rsidR="00411CDE" w:rsidP="00411CDE" w:rsidRDefault="00411CDE" w14:paraId="6A05A809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</w:rPr>
            </w:pPr>
          </w:p>
          <w:p w:rsidR="00411CDE" w:rsidP="00411CDE" w:rsidRDefault="00411CDE" w14:paraId="5A39BBE3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</w:rPr>
            </w:pPr>
          </w:p>
          <w:p w:rsidRPr="00F73D7F" w:rsidR="00D92818" w:rsidP="00411CDE" w:rsidRDefault="00411CDE" w14:paraId="038BA7EC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</w:rPr>
              <w:t>1 hr 45 mins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Pr="00136004" w:rsidR="00D92818" w:rsidP="00411CDE" w:rsidRDefault="00D92818" w14:paraId="324F78BF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u w:val="single"/>
              </w:rPr>
            </w:pPr>
            <w:r w:rsidRPr="00136004">
              <w:rPr>
                <w:rFonts w:asciiTheme="minorHAnsi" w:hAnsiTheme="minorHAnsi"/>
                <w:bCs/>
                <w:sz w:val="22"/>
                <w:u w:val="single"/>
              </w:rPr>
              <w:t xml:space="preserve">Paper 2: </w:t>
            </w:r>
          </w:p>
          <w:p w:rsidRPr="00F73D7F" w:rsidR="00411CDE" w:rsidP="00411CDE" w:rsidRDefault="00411CDE" w14:paraId="41C8F396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1"/>
              </w:rPr>
            </w:pPr>
          </w:p>
          <w:p w:rsidR="00D92818" w:rsidP="00411CDE" w:rsidRDefault="00D92818" w14:paraId="6C04DBD4" wp14:textId="77777777">
            <w:pPr>
              <w:tabs>
                <w:tab w:val="left" w:pos="7513"/>
              </w:tabs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>A</w:t>
            </w:r>
            <w:r w:rsidR="00411CDE">
              <w:rPr>
                <w:rFonts w:asciiTheme="minorHAnsi" w:hAnsiTheme="minorHAnsi"/>
                <w:sz w:val="22"/>
                <w:szCs w:val="21"/>
              </w:rPr>
              <w:t>: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Pr="00411CDE" w:rsidR="00411CDE">
              <w:rPr>
                <w:rFonts w:asciiTheme="minorHAnsi" w:hAnsiTheme="minorHAnsi"/>
                <w:i/>
                <w:sz w:val="22"/>
                <w:szCs w:val="21"/>
              </w:rPr>
              <w:t>An Inspector Calls</w:t>
            </w:r>
          </w:p>
          <w:p w:rsidR="00411CDE" w:rsidP="00411CDE" w:rsidRDefault="00411CDE" w14:paraId="6192E713" wp14:textId="77777777">
            <w:pPr>
              <w:tabs>
                <w:tab w:val="left" w:pos="7513"/>
              </w:tabs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>B: ‘Power and Conflict’ poetry</w:t>
            </w:r>
          </w:p>
          <w:p w:rsidR="00D92818" w:rsidP="00411CDE" w:rsidRDefault="00411CDE" w14:paraId="46ACA04C" wp14:textId="77777777">
            <w:pPr>
              <w:tabs>
                <w:tab w:val="left" w:pos="7513"/>
              </w:tabs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>C:</w:t>
            </w:r>
            <w:r w:rsidR="00D92818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1"/>
              </w:rPr>
              <w:t>Par</w:t>
            </w:r>
            <w:r w:rsidR="00D92818">
              <w:rPr>
                <w:rFonts w:asciiTheme="minorHAnsi" w:hAnsiTheme="minorHAnsi"/>
                <w:sz w:val="22"/>
                <w:szCs w:val="21"/>
              </w:rPr>
              <w:t>t</w:t>
            </w:r>
            <w:r>
              <w:rPr>
                <w:rFonts w:asciiTheme="minorHAnsi" w:hAnsiTheme="minorHAnsi"/>
                <w:sz w:val="22"/>
                <w:szCs w:val="21"/>
              </w:rPr>
              <w:t>s</w:t>
            </w:r>
            <w:r w:rsidR="00D92818">
              <w:rPr>
                <w:rFonts w:asciiTheme="minorHAnsi" w:hAnsiTheme="minorHAnsi"/>
                <w:sz w:val="22"/>
                <w:szCs w:val="21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/2 - </w:t>
            </w:r>
            <w:r w:rsidR="00D92818">
              <w:rPr>
                <w:rFonts w:asciiTheme="minorHAnsi" w:hAnsiTheme="minorHAnsi"/>
                <w:sz w:val="22"/>
                <w:szCs w:val="21"/>
              </w:rPr>
              <w:t xml:space="preserve">Unseen </w:t>
            </w:r>
            <w:r>
              <w:rPr>
                <w:rFonts w:asciiTheme="minorHAnsi" w:hAnsiTheme="minorHAnsi"/>
                <w:sz w:val="22"/>
                <w:szCs w:val="21"/>
              </w:rPr>
              <w:t>p</w:t>
            </w:r>
            <w:r w:rsidR="00D92818">
              <w:rPr>
                <w:rFonts w:asciiTheme="minorHAnsi" w:hAnsiTheme="minorHAnsi"/>
                <w:sz w:val="22"/>
                <w:szCs w:val="21"/>
              </w:rPr>
              <w:t>oetry</w:t>
            </w:r>
            <w:r>
              <w:rPr>
                <w:rFonts w:asciiTheme="minorHAnsi" w:hAnsiTheme="minorHAnsi"/>
                <w:sz w:val="22"/>
                <w:szCs w:val="21"/>
              </w:rPr>
              <w:t xml:space="preserve"> &amp;</w:t>
            </w:r>
            <w:r w:rsidR="00D92818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1"/>
              </w:rPr>
              <w:t>unseen p</w:t>
            </w:r>
            <w:r w:rsidR="00D92818">
              <w:rPr>
                <w:rFonts w:asciiTheme="minorHAnsi" w:hAnsiTheme="minorHAnsi"/>
                <w:sz w:val="22"/>
                <w:szCs w:val="21"/>
              </w:rPr>
              <w:t xml:space="preserve">oetry </w:t>
            </w:r>
            <w:r>
              <w:rPr>
                <w:rFonts w:asciiTheme="minorHAnsi" w:hAnsiTheme="minorHAnsi"/>
                <w:sz w:val="22"/>
                <w:szCs w:val="21"/>
              </w:rPr>
              <w:t>c</w:t>
            </w:r>
            <w:r w:rsidR="00D92818">
              <w:rPr>
                <w:rFonts w:asciiTheme="minorHAnsi" w:hAnsiTheme="minorHAnsi"/>
                <w:sz w:val="22"/>
                <w:szCs w:val="21"/>
              </w:rPr>
              <w:t>omparison</w:t>
            </w:r>
          </w:p>
          <w:p w:rsidR="00411CDE" w:rsidP="00411CDE" w:rsidRDefault="00411CDE" w14:paraId="72A3D3EC" wp14:textId="77777777">
            <w:pPr>
              <w:tabs>
                <w:tab w:val="left" w:pos="7513"/>
              </w:tabs>
              <w:rPr>
                <w:rFonts w:asciiTheme="minorHAnsi" w:hAnsiTheme="minorHAnsi"/>
                <w:sz w:val="22"/>
                <w:szCs w:val="21"/>
              </w:rPr>
            </w:pPr>
          </w:p>
          <w:p w:rsidRPr="00734FA6" w:rsidR="00734FA6" w:rsidP="00411CDE" w:rsidRDefault="00411CDE" w14:paraId="67AD7050" wp14:textId="77777777">
            <w:pPr>
              <w:tabs>
                <w:tab w:val="left" w:pos="7513"/>
              </w:tabs>
              <w:rPr>
                <w:rFonts w:asciiTheme="minorHAnsi" w:hAnsiTheme="minorHAnsi"/>
                <w:i/>
                <w:sz w:val="22"/>
                <w:szCs w:val="21"/>
              </w:rPr>
            </w:pPr>
            <w:r>
              <w:rPr>
                <w:rFonts w:asciiTheme="minorHAnsi" w:hAnsiTheme="minorHAnsi"/>
                <w:i/>
                <w:sz w:val="22"/>
                <w:szCs w:val="21"/>
              </w:rPr>
              <w:t>2</w:t>
            </w:r>
            <w:r w:rsidR="00734FA6">
              <w:rPr>
                <w:rFonts w:asciiTheme="minorHAnsi" w:hAnsiTheme="minorHAnsi"/>
                <w:i/>
                <w:sz w:val="22"/>
                <w:szCs w:val="21"/>
              </w:rPr>
              <w:t xml:space="preserve"> hr</w:t>
            </w:r>
            <w:r>
              <w:rPr>
                <w:rFonts w:asciiTheme="minorHAnsi" w:hAnsiTheme="minorHAnsi"/>
                <w:i/>
                <w:sz w:val="22"/>
                <w:szCs w:val="21"/>
              </w:rPr>
              <w:t>s</w:t>
            </w:r>
            <w:r w:rsidR="00734FA6">
              <w:rPr>
                <w:rFonts w:asciiTheme="minorHAnsi" w:hAnsiTheme="minorHAnsi"/>
                <w:i/>
                <w:sz w:val="22"/>
                <w:szCs w:val="21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1"/>
              </w:rPr>
              <w:t>1</w:t>
            </w:r>
            <w:r w:rsidR="00734FA6">
              <w:rPr>
                <w:rFonts w:asciiTheme="minorHAnsi" w:hAnsiTheme="minorHAnsi"/>
                <w:i/>
                <w:sz w:val="22"/>
                <w:szCs w:val="21"/>
              </w:rPr>
              <w:t>5 mins</w:t>
            </w:r>
          </w:p>
        </w:tc>
        <w:tc>
          <w:tcPr>
            <w:tcW w:w="2513" w:type="dxa"/>
            <w:shd w:val="clear" w:color="auto" w:fill="FFFF00"/>
            <w:vAlign w:val="center"/>
          </w:tcPr>
          <w:p w:rsidR="00D92818" w:rsidP="00411CDE" w:rsidRDefault="00D92818" w14:paraId="4A55B47A" wp14:textId="77777777">
            <w:pPr>
              <w:rPr>
                <w:rFonts w:ascii="Calibri" w:hAnsi="Calibri" w:cs="Calibri"/>
                <w:sz w:val="22"/>
                <w:u w:val="single"/>
              </w:rPr>
            </w:pPr>
            <w:r w:rsidRPr="00D92818">
              <w:rPr>
                <w:rFonts w:ascii="Calibri" w:hAnsi="Calibri" w:cs="Calibri"/>
                <w:sz w:val="22"/>
                <w:u w:val="single"/>
              </w:rPr>
              <w:t>Paper 1: Fiction</w:t>
            </w:r>
          </w:p>
          <w:p w:rsidRPr="00D92818" w:rsidR="00411CDE" w:rsidP="00411CDE" w:rsidRDefault="00411CDE" w14:paraId="0D0B940D" wp14:textId="77777777">
            <w:pPr>
              <w:rPr>
                <w:rFonts w:ascii="Calibri" w:hAnsi="Calibri" w:cs="Calibri"/>
                <w:sz w:val="22"/>
                <w:u w:val="single"/>
              </w:rPr>
            </w:pPr>
          </w:p>
          <w:p w:rsidR="00D92818" w:rsidP="00411CDE" w:rsidRDefault="00411CDE" w14:paraId="60F7FF7C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A: Exploring unseen f</w:t>
            </w:r>
            <w:r w:rsidR="00D92818">
              <w:rPr>
                <w:rFonts w:ascii="Calibri" w:hAnsi="Calibri" w:cs="Calibri"/>
                <w:sz w:val="22"/>
              </w:rPr>
              <w:t xml:space="preserve">iction </w:t>
            </w:r>
          </w:p>
          <w:p w:rsidR="00D92818" w:rsidP="00411CDE" w:rsidRDefault="00411CDE" w14:paraId="6666A678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B: </w:t>
            </w:r>
            <w:r w:rsidR="00D92818">
              <w:rPr>
                <w:rFonts w:ascii="Calibri" w:hAnsi="Calibri" w:cs="Calibri"/>
                <w:sz w:val="22"/>
              </w:rPr>
              <w:t>Narrative</w:t>
            </w:r>
            <w:r>
              <w:rPr>
                <w:rFonts w:ascii="Calibri" w:hAnsi="Calibri" w:cs="Calibri"/>
                <w:sz w:val="22"/>
              </w:rPr>
              <w:t xml:space="preserve"> and/or d</w:t>
            </w:r>
            <w:r w:rsidR="00D92818">
              <w:rPr>
                <w:rFonts w:ascii="Calibri" w:hAnsi="Calibri" w:cs="Calibri"/>
                <w:sz w:val="22"/>
              </w:rPr>
              <w:t xml:space="preserve">escriptive </w:t>
            </w:r>
            <w:r>
              <w:rPr>
                <w:rFonts w:ascii="Calibri" w:hAnsi="Calibri" w:cs="Calibri"/>
                <w:sz w:val="22"/>
              </w:rPr>
              <w:t>w</w:t>
            </w:r>
            <w:r w:rsidR="00D92818">
              <w:rPr>
                <w:rFonts w:ascii="Calibri" w:hAnsi="Calibri" w:cs="Calibri"/>
                <w:sz w:val="22"/>
              </w:rPr>
              <w:t xml:space="preserve">riting </w:t>
            </w:r>
          </w:p>
          <w:p w:rsidR="00411CDE" w:rsidP="00411CDE" w:rsidRDefault="00411CDE" w14:paraId="0E27B00A" wp14:textId="77777777">
            <w:pPr>
              <w:rPr>
                <w:rFonts w:ascii="Calibri" w:hAnsi="Calibri" w:cs="Calibri"/>
                <w:sz w:val="22"/>
              </w:rPr>
            </w:pPr>
          </w:p>
          <w:p w:rsidRPr="00D92818" w:rsidR="00D92818" w:rsidP="00411CDE" w:rsidRDefault="00734FA6" w14:paraId="55DB40F9" wp14:textId="77777777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1 hr 45</w:t>
            </w:r>
          </w:p>
        </w:tc>
        <w:tc>
          <w:tcPr>
            <w:tcW w:w="2514" w:type="dxa"/>
            <w:shd w:val="clear" w:color="auto" w:fill="FFFF00"/>
          </w:tcPr>
          <w:p w:rsidR="00D92818" w:rsidP="00411CDE" w:rsidRDefault="00D92818" w14:paraId="7B243689" wp14:textId="77777777">
            <w:pPr>
              <w:rPr>
                <w:rFonts w:ascii="Calibri" w:hAnsi="Calibri" w:cs="Calibri"/>
                <w:sz w:val="22"/>
                <w:u w:val="single"/>
              </w:rPr>
            </w:pPr>
            <w:r w:rsidRPr="00D92818">
              <w:rPr>
                <w:rFonts w:ascii="Calibri" w:hAnsi="Calibri" w:cs="Calibri"/>
                <w:sz w:val="22"/>
                <w:u w:val="single"/>
              </w:rPr>
              <w:t>Paper 2: Non-fiction</w:t>
            </w:r>
          </w:p>
          <w:p w:rsidRPr="00D92818" w:rsidR="00411CDE" w:rsidP="00411CDE" w:rsidRDefault="00411CDE" w14:paraId="60061E4C" wp14:textId="77777777">
            <w:pPr>
              <w:rPr>
                <w:rFonts w:ascii="Calibri" w:hAnsi="Calibri" w:cs="Calibri"/>
                <w:sz w:val="22"/>
                <w:u w:val="single"/>
              </w:rPr>
            </w:pPr>
          </w:p>
          <w:p w:rsidR="00D92818" w:rsidP="00411CDE" w:rsidRDefault="00411CDE" w14:paraId="11111D5A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A: </w:t>
            </w:r>
            <w:r w:rsidR="00D92818">
              <w:rPr>
                <w:rFonts w:ascii="Calibri" w:hAnsi="Calibri" w:cs="Calibri"/>
                <w:sz w:val="22"/>
              </w:rPr>
              <w:t>Compar</w:t>
            </w:r>
            <w:r w:rsidR="00734FA6">
              <w:rPr>
                <w:rFonts w:ascii="Calibri" w:hAnsi="Calibri" w:cs="Calibri"/>
                <w:sz w:val="22"/>
              </w:rPr>
              <w:t>ing</w:t>
            </w:r>
            <w:r w:rsidR="00D9281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viewpoints - n</w:t>
            </w:r>
            <w:r w:rsidR="00D92818">
              <w:rPr>
                <w:rFonts w:ascii="Calibri" w:hAnsi="Calibri" w:cs="Calibri"/>
                <w:sz w:val="22"/>
              </w:rPr>
              <w:t>on-</w:t>
            </w:r>
            <w:r>
              <w:rPr>
                <w:rFonts w:ascii="Calibri" w:hAnsi="Calibri" w:cs="Calibri"/>
                <w:sz w:val="22"/>
              </w:rPr>
              <w:t>f</w:t>
            </w:r>
            <w:r w:rsidR="00D92818">
              <w:rPr>
                <w:rFonts w:ascii="Calibri" w:hAnsi="Calibri" w:cs="Calibri"/>
                <w:sz w:val="22"/>
              </w:rPr>
              <w:t>iction (25%)</w:t>
            </w:r>
          </w:p>
          <w:p w:rsidR="00D92818" w:rsidP="00411CDE" w:rsidRDefault="00411CDE" w14:paraId="5758AB63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B: Viewpoint</w:t>
            </w:r>
            <w:r w:rsidR="00D92818">
              <w:rPr>
                <w:rFonts w:ascii="Calibri" w:hAnsi="Calibri" w:cs="Calibri"/>
                <w:sz w:val="22"/>
              </w:rPr>
              <w:t xml:space="preserve"> writing (25%)</w:t>
            </w:r>
          </w:p>
          <w:p w:rsidR="00411CDE" w:rsidP="00411CDE" w:rsidRDefault="00411CDE" w14:paraId="44EAFD9C" wp14:textId="77777777">
            <w:pPr>
              <w:rPr>
                <w:rFonts w:ascii="Calibri" w:hAnsi="Calibri" w:cs="Calibri"/>
                <w:sz w:val="22"/>
              </w:rPr>
            </w:pPr>
          </w:p>
          <w:p w:rsidRPr="00D92818" w:rsidR="00D92818" w:rsidP="00411CDE" w:rsidRDefault="00D92818" w14:paraId="4AE37A64" wp14:textId="77777777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1 hr 45 m</w:t>
            </w:r>
          </w:p>
        </w:tc>
      </w:tr>
    </w:tbl>
    <w:p xmlns:wp14="http://schemas.microsoft.com/office/word/2010/wordml" w:rsidRPr="00F73D7F" w:rsidR="009522EF" w:rsidP="00007EF9" w:rsidRDefault="009522EF" w14:paraId="4B94D5A5" wp14:textId="77777777">
      <w:pPr>
        <w:tabs>
          <w:tab w:val="left" w:pos="7513"/>
        </w:tabs>
        <w:spacing w:after="0" w:line="240" w:lineRule="auto"/>
        <w:rPr>
          <w:sz w:val="12"/>
          <w:szCs w:val="21"/>
        </w:rPr>
      </w:pPr>
    </w:p>
    <w:p xmlns:wp14="http://schemas.microsoft.com/office/word/2010/wordml" w:rsidR="00007EF9" w:rsidP="00007EF9" w:rsidRDefault="00734FA6" w14:paraId="4CCCF7B1" wp14:textId="77777777">
      <w:pPr>
        <w:tabs>
          <w:tab w:val="left" w:pos="7513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English Department</w:t>
      </w:r>
      <w:r w:rsidRPr="00F73D7F" w:rsidR="00007EF9">
        <w:rPr>
          <w:sz w:val="21"/>
          <w:szCs w:val="21"/>
        </w:rPr>
        <w:t xml:space="preserve"> website </w:t>
      </w:r>
      <w:hyperlink w:history="1" r:id="rId6">
        <w:r w:rsidRPr="00734FA6">
          <w:rPr>
            <w:rStyle w:val="Hyperlink"/>
          </w:rPr>
          <w:t>https://sites.google.com/view/lhsenglishdepartment/home</w:t>
        </w:r>
      </w:hyperlink>
      <w:r w:rsidRPr="00F73D7F" w:rsidR="00937B61">
        <w:t xml:space="preserve"> </w:t>
      </w:r>
      <w:r w:rsidRPr="00F73D7F" w:rsidR="00007EF9">
        <w:rPr>
          <w:sz w:val="21"/>
          <w:szCs w:val="21"/>
        </w:rPr>
        <w:t>has a wealth of resources for revision.  In order to assist you to support your child’s preparation for thei</w:t>
      </w:r>
      <w:r w:rsidRPr="00F73D7F" w:rsidR="00937B61">
        <w:rPr>
          <w:sz w:val="21"/>
          <w:szCs w:val="21"/>
        </w:rPr>
        <w:t xml:space="preserve">r GCSE </w:t>
      </w:r>
      <w:r>
        <w:rPr>
          <w:sz w:val="21"/>
          <w:szCs w:val="21"/>
        </w:rPr>
        <w:t>English Language and English Literature</w:t>
      </w:r>
      <w:r w:rsidRPr="00F73D7F" w:rsidR="00937B61">
        <w:rPr>
          <w:sz w:val="21"/>
          <w:szCs w:val="21"/>
        </w:rPr>
        <w:t xml:space="preserve"> (exam board </w:t>
      </w:r>
      <w:r>
        <w:rPr>
          <w:sz w:val="21"/>
          <w:szCs w:val="21"/>
        </w:rPr>
        <w:t>AQA</w:t>
      </w:r>
      <w:r w:rsidRPr="00F73D7F" w:rsidR="00007EF9">
        <w:rPr>
          <w:sz w:val="21"/>
          <w:szCs w:val="21"/>
        </w:rPr>
        <w:t xml:space="preserve">), we have compiled a useful guide (see below) for how to use the materials we have made available. This will help the students do the best they possibly can. </w:t>
      </w:r>
    </w:p>
    <w:p xmlns:wp14="http://schemas.microsoft.com/office/word/2010/wordml" w:rsidRPr="00F73D7F" w:rsidR="0013639D" w:rsidP="00007EF9" w:rsidRDefault="0013639D" w14:paraId="3DEEC669" wp14:textId="77777777">
      <w:pPr>
        <w:tabs>
          <w:tab w:val="left" w:pos="7513"/>
        </w:tabs>
        <w:spacing w:after="0" w:line="240" w:lineRule="auto"/>
        <w:rPr>
          <w:sz w:val="21"/>
          <w:szCs w:val="21"/>
        </w:rPr>
      </w:pPr>
    </w:p>
    <w:p xmlns:wp14="http://schemas.microsoft.com/office/word/2010/wordml" w:rsidRPr="00F73D7F" w:rsidR="00007EF9" w:rsidP="00007EF9" w:rsidRDefault="00007EF9" w14:paraId="3656B9AB" wp14:textId="77777777">
      <w:pPr>
        <w:tabs>
          <w:tab w:val="left" w:pos="7513"/>
        </w:tabs>
        <w:spacing w:after="0" w:line="240" w:lineRule="auto"/>
        <w:rPr>
          <w:sz w:val="10"/>
          <w:szCs w:val="21"/>
        </w:rPr>
      </w:pPr>
    </w:p>
    <w:tbl>
      <w:tblPr>
        <w:tblStyle w:val="TableGrid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4462"/>
      </w:tblGrid>
      <w:tr xmlns:wp14="http://schemas.microsoft.com/office/word/2010/wordml" w:rsidRPr="000D7890" w:rsidR="00007EF9" w:rsidTr="0D9BC95C" w14:paraId="58E49920" wp14:textId="77777777">
        <w:trPr>
          <w:trHeight w:val="331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0D7890" w:rsidR="00007EF9" w:rsidP="0028526F" w:rsidRDefault="00007EF9" w14:paraId="67320682" wp14:textId="77777777">
            <w:pPr>
              <w:tabs>
                <w:tab w:val="left" w:pos="751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D7890">
              <w:rPr>
                <w:rFonts w:asciiTheme="minorHAnsi" w:hAnsiTheme="minorHAnsi"/>
                <w:b/>
                <w:sz w:val="18"/>
                <w:szCs w:val="18"/>
              </w:rPr>
              <w:t>What the resources include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007EF9" w:rsidP="0028526F" w:rsidRDefault="00007EF9" w14:paraId="35F58E2D" wp14:textId="77777777">
            <w:pPr>
              <w:tabs>
                <w:tab w:val="left" w:pos="751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D7890">
              <w:rPr>
                <w:rFonts w:asciiTheme="minorHAnsi" w:hAnsiTheme="minorHAnsi"/>
                <w:b/>
                <w:sz w:val="18"/>
                <w:szCs w:val="18"/>
              </w:rPr>
              <w:t>Activities your child could do independently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0D7890" w:rsidR="00007EF9" w:rsidP="0028526F" w:rsidRDefault="0023319A" w14:paraId="063F21DC" wp14:textId="77777777">
            <w:pPr>
              <w:tabs>
                <w:tab w:val="left" w:pos="751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Ways you could support your child</w:t>
            </w:r>
          </w:p>
        </w:tc>
      </w:tr>
      <w:tr xmlns:wp14="http://schemas.microsoft.com/office/word/2010/wordml" w:rsidRPr="000D7890" w:rsidR="00007EF9" w:rsidTr="0D9BC95C" w14:paraId="3D31CA7B" wp14:textId="77777777">
        <w:trPr>
          <w:cantSplit/>
          <w:trHeight w:val="1134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  <w:hideMark/>
          </w:tcPr>
          <w:p w:rsidRPr="000D7890" w:rsidR="00007EF9" w:rsidP="0023319A" w:rsidRDefault="00007EF9" w14:paraId="783A6F38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Revision </w:t>
            </w:r>
            <w:r w:rsidRPr="000D7890" w:rsidR="009522EF">
              <w:rPr>
                <w:rFonts w:asciiTheme="minorHAnsi" w:hAnsiTheme="minorHAnsi"/>
                <w:sz w:val="18"/>
                <w:szCs w:val="18"/>
              </w:rPr>
              <w:t>Guides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B06E77" w:rsidP="0D9BC95C" w:rsidRDefault="00B06E77" w14:paraId="120F71AC" wp14:textId="554611AC">
            <w:p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You may have bought revision guides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already, or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bought them through the department.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Use them to revise effectively:</w:t>
            </w:r>
          </w:p>
          <w:p w:rsidRPr="000D7890" w:rsidR="00007EF9" w:rsidP="0D9BC95C" w:rsidRDefault="00007EF9" w14:paraId="49A6CDE1" wp14:textId="4C2CE4C8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D9E51C1">
              <w:rPr>
                <w:rFonts w:ascii="Calibri" w:hAnsi="Calibri" w:asciiTheme="minorAscii" w:hAnsiTheme="minorAscii"/>
                <w:sz w:val="18"/>
                <w:szCs w:val="18"/>
              </w:rPr>
              <w:t>c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>reate a timeline of the key events;</w:t>
            </w:r>
          </w:p>
          <w:p w:rsidRPr="000D7890" w:rsidR="00007EF9" w:rsidP="0D9BC95C" w:rsidRDefault="00007EF9" w14:paraId="3E639ED5" wp14:textId="338897E8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309FB466">
              <w:rPr>
                <w:rFonts w:ascii="Calibri" w:hAnsi="Calibri" w:asciiTheme="minorAscii" w:hAnsiTheme="minorAscii"/>
                <w:sz w:val="18"/>
                <w:szCs w:val="18"/>
              </w:rPr>
              <w:t>f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>it all the key information onto one page;</w:t>
            </w:r>
          </w:p>
          <w:p w:rsidRPr="000D7890" w:rsidR="009522EF" w:rsidP="0D9BC95C" w:rsidRDefault="00007EF9" w14:paraId="6154EC11" wp14:textId="6ECADBC0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508DDFC1">
              <w:rPr>
                <w:rFonts w:ascii="Calibri" w:hAnsi="Calibri" w:asciiTheme="minorAscii" w:hAnsiTheme="minorAscii"/>
                <w:sz w:val="18"/>
                <w:szCs w:val="18"/>
              </w:rPr>
              <w:t>c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>reate key knowledge tests;</w:t>
            </w:r>
            <w:r w:rsidRPr="0D9BC95C" w:rsidR="00102C3C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</w:p>
          <w:p w:rsidRPr="000D7890" w:rsidR="009522EF" w:rsidP="0D9BC95C" w:rsidRDefault="00007EF9" w14:paraId="51402B5E" wp14:textId="77AFD137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53E0EE77">
              <w:rPr>
                <w:rFonts w:ascii="Calibri" w:hAnsi="Calibri" w:asciiTheme="minorAscii" w:hAnsiTheme="minorAscii"/>
                <w:sz w:val="18"/>
                <w:szCs w:val="18"/>
              </w:rPr>
              <w:t>p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lan out the answers to the questions at the back; </w:t>
            </w:r>
          </w:p>
          <w:p w:rsidRPr="000D7890" w:rsidR="009522EF" w:rsidP="0D9BC95C" w:rsidRDefault="00007EF9" w14:paraId="6444FB7B" wp14:textId="5CE4E9DD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6B8CF078">
              <w:rPr>
                <w:rFonts w:ascii="Calibri" w:hAnsi="Calibri" w:asciiTheme="minorAscii" w:hAnsiTheme="minorAscii"/>
                <w:sz w:val="18"/>
                <w:szCs w:val="18"/>
              </w:rPr>
              <w:t>g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ive any answers to </w:t>
            </w:r>
            <w:r w:rsidRPr="0D9BC95C" w:rsidR="00734FA6">
              <w:rPr>
                <w:rFonts w:ascii="Calibri" w:hAnsi="Calibri" w:asciiTheme="minorAscii" w:hAnsiTheme="minorAscii"/>
                <w:sz w:val="18"/>
                <w:szCs w:val="18"/>
              </w:rPr>
              <w:t>English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 teacher to mark.</w:t>
            </w:r>
          </w:p>
          <w:p w:rsidRPr="000D7890" w:rsidR="009522EF" w:rsidP="0D9BC95C" w:rsidRDefault="00007EF9" w14:paraId="4B1EC833" wp14:textId="6FB4DC7B">
            <w:p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37DEA431">
              <w:rPr>
                <w:rFonts w:ascii="Calibri" w:hAnsi="Calibri" w:asciiTheme="minorAscii" w:hAnsiTheme="minorAscii"/>
                <w:sz w:val="18"/>
                <w:szCs w:val="18"/>
              </w:rPr>
              <w:t>We will provide knowledge organisers with ‘essential information’ too.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0D7890" w:rsidR="00007EF9" w:rsidP="0D9BC95C" w:rsidRDefault="00007EF9" w14:paraId="2ED9D854" wp14:textId="58434C3B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Use the </w:t>
            </w:r>
            <w:r w:rsidRPr="0D9BC95C" w:rsidR="009522EF">
              <w:rPr>
                <w:rFonts w:ascii="Calibri" w:hAnsi="Calibri" w:asciiTheme="minorAscii" w:hAnsiTheme="minorAscii"/>
                <w:sz w:val="18"/>
                <w:szCs w:val="18"/>
              </w:rPr>
              <w:t>guides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 to test what happened</w:t>
            </w:r>
            <w:r w:rsidRPr="0D9BC95C" w:rsidR="237A1170">
              <w:rPr>
                <w:rFonts w:ascii="Calibri" w:hAnsi="Calibri" w:asciiTheme="minorAscii" w:hAnsiTheme="minorAscii"/>
                <w:sz w:val="18"/>
                <w:szCs w:val="18"/>
              </w:rPr>
              <w:t>, information about key characters or themes</w:t>
            </w:r>
          </w:p>
          <w:p w:rsidRPr="000D7890" w:rsidR="00007EF9" w:rsidP="0D9BC95C" w:rsidRDefault="00007EF9" w14:paraId="0624A630" wp14:textId="494460E1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237A1170">
              <w:rPr>
                <w:rFonts w:ascii="Calibri" w:hAnsi="Calibri" w:asciiTheme="minorAscii" w:hAnsiTheme="minorAscii"/>
                <w:sz w:val="18"/>
                <w:szCs w:val="18"/>
              </w:rPr>
              <w:t>Choose a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0D9BC95C" w:rsidR="76838962">
              <w:rPr>
                <w:rFonts w:ascii="Calibri" w:hAnsi="Calibri" w:asciiTheme="minorAscii" w:hAnsiTheme="minorAscii"/>
                <w:sz w:val="18"/>
                <w:szCs w:val="18"/>
              </w:rPr>
              <w:t>character or theme for your child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>to talk for a minute on</w:t>
            </w:r>
          </w:p>
          <w:p w:rsidRPr="000D7890" w:rsidR="00B06E77" w:rsidP="0D9BC95C" w:rsidRDefault="00007EF9" w14:paraId="2C6C53ED" wp14:textId="77777777" wp14:noSpellErr="1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>Give them 10 minutes to write everything they remember from the</w:t>
            </w:r>
            <w:r w:rsidRPr="0D9BC95C" w:rsidR="008C7160">
              <w:rPr>
                <w:rFonts w:ascii="Calibri" w:hAnsi="Calibri" w:asciiTheme="minorAscii" w:hAnsiTheme="minorAscii"/>
                <w:sz w:val="18"/>
                <w:szCs w:val="18"/>
              </w:rPr>
              <w:t xml:space="preserve"> guides</w:t>
            </w:r>
            <w:r w:rsidRPr="0D9BC95C" w:rsidR="00007EF9">
              <w:rPr>
                <w:rFonts w:ascii="Calibri" w:hAnsi="Calibri" w:asciiTheme="minorAscii" w:hAnsiTheme="minorAscii"/>
                <w:sz w:val="18"/>
                <w:szCs w:val="18"/>
              </w:rPr>
              <w:t xml:space="preserve"> and repeat until knowledge is secure.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</w:p>
          <w:p w:rsidRPr="000D7890" w:rsidR="00B06E77" w:rsidP="0D9BC95C" w:rsidRDefault="00B06E77" w14:paraId="62443040" wp14:textId="2E5022EF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Ensure your child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isn’t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just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reading through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books/websites when they say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they’re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revising</w:t>
            </w:r>
            <w:r w:rsidRPr="0D9BC95C" w:rsidR="621EF6A1">
              <w:rPr>
                <w:rFonts w:ascii="Calibri" w:hAnsi="Calibri" w:asciiTheme="minorAscii" w:hAnsiTheme="minorAscii"/>
                <w:sz w:val="18"/>
                <w:szCs w:val="18"/>
              </w:rPr>
              <w:t xml:space="preserve"> -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it’s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not an effective method</w:t>
            </w:r>
            <w:r w:rsidRPr="0D9BC95C" w:rsidR="6ADC29A0">
              <w:rPr>
                <w:rFonts w:ascii="Calibri" w:hAnsi="Calibri" w:asciiTheme="minorAscii" w:hAnsiTheme="minorAscii"/>
                <w:sz w:val="18"/>
                <w:szCs w:val="18"/>
              </w:rPr>
              <w:t>!</w:t>
            </w:r>
          </w:p>
          <w:p w:rsidRPr="000D7890" w:rsidR="00007EF9" w:rsidP="0D9BC95C" w:rsidRDefault="00B06E77" w14:paraId="0956740E" wp14:textId="77777777" wp14:noSpellErr="1">
            <w:pPr>
              <w:pStyle w:val="ListParagraph"/>
              <w:numPr>
                <w:ilvl w:val="0"/>
                <w:numId w:val="1"/>
              </w:numPr>
              <w:tabs>
                <w:tab w:val="left" w:pos="7513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Check their revision notes/pages/cards and test them on what 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>they’ve</w:t>
            </w:r>
            <w:r w:rsidRPr="0D9BC95C" w:rsidR="00B06E77">
              <w:rPr>
                <w:rFonts w:ascii="Calibri" w:hAnsi="Calibri" w:asciiTheme="minorAscii" w:hAnsiTheme="minorAscii"/>
                <w:sz w:val="18"/>
                <w:szCs w:val="18"/>
              </w:rPr>
              <w:t xml:space="preserve"> created</w:t>
            </w:r>
          </w:p>
        </w:tc>
      </w:tr>
      <w:tr xmlns:wp14="http://schemas.microsoft.com/office/word/2010/wordml" w:rsidRPr="000D7890" w:rsidR="00007EF9" w:rsidTr="0D9BC95C" w14:paraId="0A73E716" wp14:textId="77777777">
        <w:trPr>
          <w:cantSplit/>
          <w:trHeight w:val="1440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  <w:hideMark/>
          </w:tcPr>
          <w:p w:rsidRPr="000D7890" w:rsidR="00007EF9" w:rsidP="0023319A" w:rsidRDefault="00937B61" w14:paraId="0712339E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Exam Guidance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007EF9" w:rsidP="00102C3C" w:rsidRDefault="00007EF9" w14:paraId="099FD294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Make a list of the different questions and write out the main things to remember;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>Write plans for answers using the guidance;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Write out answers, and mark using the booklet; Give any answers to </w:t>
            </w:r>
            <w:r w:rsidR="00734FA6">
              <w:rPr>
                <w:rFonts w:asciiTheme="minorHAnsi" w:hAnsiTheme="minorHAnsi"/>
                <w:sz w:val="18"/>
                <w:szCs w:val="18"/>
              </w:rPr>
              <w:t>English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 teacher to mark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0D7890" w:rsidR="00007EF9" w:rsidP="00102C3C" w:rsidRDefault="00007EF9" w14:paraId="14EFF580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Test your child on how to structure the answers to the different questions (this is very important to get a </w:t>
            </w:r>
            <w:r w:rsidR="00201900">
              <w:rPr>
                <w:rFonts w:asciiTheme="minorHAnsi" w:hAnsiTheme="minorHAnsi"/>
                <w:sz w:val="18"/>
                <w:szCs w:val="18"/>
              </w:rPr>
              <w:t>4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 or above);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>Practise exam questions in timed conditions.</w:t>
            </w:r>
          </w:p>
        </w:tc>
      </w:tr>
      <w:tr xmlns:wp14="http://schemas.microsoft.com/office/word/2010/wordml" w:rsidRPr="000D7890" w:rsidR="00007EF9" w:rsidTr="0D9BC95C" w14:paraId="0259F5DC" wp14:textId="77777777">
        <w:trPr>
          <w:cantSplit/>
          <w:trHeight w:val="1134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0D7890" w:rsidR="00007EF9" w:rsidP="0023319A" w:rsidRDefault="00B06E77" w14:paraId="2E3ADF6C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Exam</w:t>
            </w:r>
            <w:r w:rsidRPr="000D7890" w:rsidR="00007EF9">
              <w:rPr>
                <w:rFonts w:asciiTheme="minorHAnsi" w:hAnsiTheme="minorHAnsi"/>
                <w:sz w:val="18"/>
                <w:szCs w:val="18"/>
              </w:rPr>
              <w:t xml:space="preserve"> Papers</w:t>
            </w:r>
            <w:r w:rsidRPr="000D7890" w:rsidR="00937B61">
              <w:rPr>
                <w:rFonts w:asciiTheme="minorHAnsi" w:hAnsiTheme="minorHAnsi"/>
                <w:sz w:val="18"/>
                <w:szCs w:val="18"/>
              </w:rPr>
              <w:t>/example questions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007EF9" w:rsidP="0028526F" w:rsidRDefault="00007EF9" w14:paraId="59E3684C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Time com</w:t>
            </w:r>
            <w:r w:rsidRPr="000D7890" w:rsidR="00937B61">
              <w:rPr>
                <w:rFonts w:asciiTheme="minorHAnsi" w:hAnsiTheme="minorHAnsi"/>
                <w:sz w:val="18"/>
                <w:szCs w:val="18"/>
              </w:rPr>
              <w:t xml:space="preserve">pleting a whole paper in </w:t>
            </w:r>
            <w:r w:rsidRPr="000D7890" w:rsidR="00B06E77">
              <w:rPr>
                <w:rFonts w:asciiTheme="minorHAnsi" w:hAnsiTheme="minorHAnsi"/>
                <w:sz w:val="18"/>
                <w:szCs w:val="18"/>
              </w:rPr>
              <w:t>exam</w:t>
            </w:r>
            <w:r w:rsidRPr="000D7890" w:rsidR="00937B61">
              <w:rPr>
                <w:rFonts w:asciiTheme="minorHAnsi" w:hAnsiTheme="minorHAnsi"/>
                <w:sz w:val="18"/>
                <w:szCs w:val="18"/>
              </w:rPr>
              <w:t xml:space="preserve"> conditions</w:t>
            </w:r>
            <w:r w:rsidRPr="000D7890" w:rsidR="00FB467F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Pr="000D7890" w:rsidR="00007EF9" w:rsidP="00102C3C" w:rsidRDefault="00007EF9" w14:paraId="679DEE7B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Plan out sections of a paper;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>Do all of one type of question from a past paper;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Give to </w:t>
            </w:r>
            <w:r w:rsidR="00E24917">
              <w:rPr>
                <w:rFonts w:asciiTheme="minorHAnsi" w:hAnsiTheme="minorHAnsi"/>
                <w:sz w:val="18"/>
                <w:szCs w:val="18"/>
              </w:rPr>
              <w:t xml:space="preserve">English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>teacher to mark for feedback.</w:t>
            </w:r>
          </w:p>
          <w:p w:rsidRPr="000D7890" w:rsidR="00B06E77" w:rsidP="00102C3C" w:rsidRDefault="00B06E77" w14:paraId="6526A18D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Use your notes and the guidance booklets to write perfect answers to questions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007EF9" w:rsidP="00937B61" w:rsidRDefault="00007EF9" w14:paraId="24C3DF20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Go through past papers and joint mark using the mark schemes;</w:t>
            </w:r>
            <w:r w:rsidRPr="000D7890" w:rsidR="00102C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Time students to </w:t>
            </w:r>
            <w:r w:rsidRPr="000D7890" w:rsidR="00937B61">
              <w:rPr>
                <w:rFonts w:asciiTheme="minorHAnsi" w:hAnsiTheme="minorHAnsi"/>
                <w:sz w:val="18"/>
                <w:szCs w:val="18"/>
              </w:rPr>
              <w:t>ensure they’re completing in the time for each paper</w:t>
            </w:r>
          </w:p>
        </w:tc>
      </w:tr>
      <w:tr xmlns:wp14="http://schemas.microsoft.com/office/word/2010/wordml" w:rsidRPr="000D7890" w:rsidR="00007EF9" w:rsidTr="0D9BC95C" w14:paraId="612DF5E2" wp14:textId="77777777">
        <w:trPr>
          <w:cantSplit/>
          <w:trHeight w:val="1134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0D7890" w:rsidR="00D3056B" w:rsidP="0023319A" w:rsidRDefault="00007EF9" w14:paraId="0C844930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Reading/</w:t>
            </w:r>
          </w:p>
          <w:p w:rsidRPr="000D7890" w:rsidR="00D3056B" w:rsidP="0023319A" w:rsidRDefault="00007EF9" w14:paraId="5F217D0B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watching/</w:t>
            </w:r>
          </w:p>
          <w:p w:rsidRPr="000D7890" w:rsidR="00007EF9" w:rsidP="0023319A" w:rsidRDefault="00007EF9" w14:paraId="54380CF6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listening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007EF9" w:rsidP="0028526F" w:rsidRDefault="00007EF9" w14:paraId="657FFFF4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Read/watch/listen </w:t>
            </w:r>
            <w:r w:rsidR="00721E76">
              <w:rPr>
                <w:rFonts w:asciiTheme="minorHAnsi" w:hAnsiTheme="minorHAnsi"/>
                <w:sz w:val="18"/>
                <w:szCs w:val="18"/>
              </w:rPr>
              <w:t>to the texts once more – possibly as an audiobook, movie or simply re-reading the books</w:t>
            </w:r>
            <w:r w:rsidR="0013639D">
              <w:rPr>
                <w:rFonts w:asciiTheme="minorHAnsi" w:hAnsiTheme="minorHAnsi"/>
                <w:sz w:val="18"/>
                <w:szCs w:val="18"/>
              </w:rPr>
              <w:t>. Consider how the movie versions help you understand the texts you are studying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3639D" w:rsidP="0028526F" w:rsidRDefault="0013639D" w14:paraId="45FB0818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007EF9" w:rsidP="0028526F" w:rsidRDefault="00007EF9" w14:paraId="25D4FD30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Watch one of the film</w:t>
            </w:r>
            <w:r w:rsidR="0023319A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0D7890">
              <w:rPr>
                <w:rFonts w:asciiTheme="minorHAnsi" w:hAnsiTheme="minorHAnsi"/>
                <w:sz w:val="18"/>
                <w:szCs w:val="18"/>
              </w:rPr>
              <w:t xml:space="preserve">with your child and get them to explain </w:t>
            </w:r>
            <w:r w:rsidR="0013639D">
              <w:rPr>
                <w:rFonts w:asciiTheme="minorHAnsi" w:hAnsiTheme="minorHAnsi"/>
                <w:sz w:val="18"/>
                <w:szCs w:val="18"/>
              </w:rPr>
              <w:t>what is happening on screen.</w:t>
            </w:r>
          </w:p>
          <w:p w:rsidRPr="000D7890" w:rsidR="0013639D" w:rsidP="0028526F" w:rsidRDefault="0013639D" w14:paraId="049F31CB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xmlns:wp14="http://schemas.microsoft.com/office/word/2010/wordml" w:rsidRPr="000D7890" w:rsidR="00F73D7F" w:rsidTr="0D9BC95C" w14:paraId="424603C0" wp14:textId="77777777">
        <w:trPr>
          <w:cantSplit/>
          <w:trHeight w:val="1045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0D7890" w:rsidR="00F73D7F" w:rsidP="0023319A" w:rsidRDefault="00F73D7F" w14:paraId="3C54870C" wp14:textId="77777777">
            <w:pPr>
              <w:tabs>
                <w:tab w:val="left" w:pos="7513"/>
              </w:tabs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Revision links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F73D7F" w:rsidP="0028526F" w:rsidRDefault="00F73D7F" w14:paraId="292F94A7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Use the websites linked on the site to add to your revision notes. </w:t>
            </w:r>
          </w:p>
          <w:p w:rsidRPr="000D7890" w:rsidR="00F73D7F" w:rsidP="0028526F" w:rsidRDefault="00F73D7F" w14:paraId="0AF10CF4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>Watch YouTube clips to develop the breadth of your knowledge further</w:t>
            </w:r>
            <w:r w:rsidR="0013639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7890" w:rsidR="00F73D7F" w:rsidP="0028526F" w:rsidRDefault="00F73D7F" w14:paraId="4DDE9601" wp14:textId="77777777">
            <w:pPr>
              <w:tabs>
                <w:tab w:val="left" w:pos="7513"/>
              </w:tabs>
              <w:rPr>
                <w:rFonts w:asciiTheme="minorHAnsi" w:hAnsiTheme="minorHAnsi"/>
                <w:sz w:val="18"/>
                <w:szCs w:val="18"/>
              </w:rPr>
            </w:pPr>
            <w:r w:rsidRPr="000D7890">
              <w:rPr>
                <w:rFonts w:asciiTheme="minorHAnsi" w:hAnsiTheme="minorHAnsi"/>
                <w:sz w:val="18"/>
                <w:szCs w:val="18"/>
              </w:rPr>
              <w:t xml:space="preserve">Encourage your child to keep their revision varied and avoid just using one or wo sources of information. </w:t>
            </w:r>
          </w:p>
        </w:tc>
      </w:tr>
    </w:tbl>
    <w:p xmlns:wp14="http://schemas.microsoft.com/office/word/2010/wordml" w:rsidRPr="000A574B" w:rsidR="00053C05" w:rsidRDefault="00053C05" w14:paraId="53128261" wp14:textId="77777777">
      <w:pPr>
        <w:rPr>
          <w:sz w:val="2"/>
          <w:szCs w:val="21"/>
        </w:rPr>
      </w:pPr>
    </w:p>
    <w:sectPr w:rsidRPr="000A574B" w:rsidR="00053C05" w:rsidSect="0023319A">
      <w:footerReference w:type="default" r:id="rId7"/>
      <w:pgSz w:w="11906" w:h="16838" w:orient="portrait"/>
      <w:pgMar w:top="720" w:right="849" w:bottom="720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02C3C" w:rsidP="00102C3C" w:rsidRDefault="00102C3C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02C3C" w:rsidP="00102C3C" w:rsidRDefault="00102C3C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F73D7F" w:rsidRDefault="00102C3C" w14:paraId="79DA137D" wp14:textId="77777777">
    <w:pPr>
      <w:pStyle w:val="Footer"/>
    </w:pPr>
    <w:r w:rsidRPr="007A449A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0CBD6A73" wp14:editId="59A97573">
          <wp:simplePos x="0" y="0"/>
          <wp:positionH relativeFrom="column">
            <wp:posOffset>144145</wp:posOffset>
          </wp:positionH>
          <wp:positionV relativeFrom="paragraph">
            <wp:posOffset>60325</wp:posOffset>
          </wp:positionV>
          <wp:extent cx="2086828" cy="368489"/>
          <wp:effectExtent l="19050" t="0" r="9525" b="0"/>
          <wp:wrapTight wrapText="bothSides">
            <wp:wrapPolygon edited="0">
              <wp:start x="-197" y="0"/>
              <wp:lineTo x="-197" y="21046"/>
              <wp:lineTo x="21699" y="21046"/>
              <wp:lineTo x="21699" y="0"/>
              <wp:lineTo x="-197" y="0"/>
            </wp:wrapPolygon>
          </wp:wrapTight>
          <wp:docPr id="4" name="Picture 7" descr="https://encrypted-tbn2.gstatic.com/images?q=tbn:ANd9GcSslEPSDIU8801V49ELaGrXpEQG9cEuQ6K2qTxb3dbjYc6qvXA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2.gstatic.com/images?q=tbn:ANd9GcSslEPSDIU8801V49ELaGrXpEQG9cEuQ6K2qTxb3dbjYc6qvXA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828" cy="368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02C3C" w:rsidP="00102C3C" w:rsidRDefault="00102C3C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02C3C" w:rsidP="00102C3C" w:rsidRDefault="00102C3C" w14:paraId="1299C43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b6a0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F9"/>
    <w:rsid w:val="00007EF9"/>
    <w:rsid w:val="00053C05"/>
    <w:rsid w:val="000A574B"/>
    <w:rsid w:val="000D7890"/>
    <w:rsid w:val="00102C3C"/>
    <w:rsid w:val="00136004"/>
    <w:rsid w:val="0013639D"/>
    <w:rsid w:val="00177784"/>
    <w:rsid w:val="00201900"/>
    <w:rsid w:val="00211CB7"/>
    <w:rsid w:val="0023319A"/>
    <w:rsid w:val="002A3F4B"/>
    <w:rsid w:val="00411CDE"/>
    <w:rsid w:val="005C4A14"/>
    <w:rsid w:val="00721E76"/>
    <w:rsid w:val="00734FA6"/>
    <w:rsid w:val="007D4C36"/>
    <w:rsid w:val="008C7160"/>
    <w:rsid w:val="00937B61"/>
    <w:rsid w:val="009522EF"/>
    <w:rsid w:val="0098050E"/>
    <w:rsid w:val="00B06E77"/>
    <w:rsid w:val="00B63D49"/>
    <w:rsid w:val="00BF2194"/>
    <w:rsid w:val="00C25591"/>
    <w:rsid w:val="00D3056B"/>
    <w:rsid w:val="00D92818"/>
    <w:rsid w:val="00E24917"/>
    <w:rsid w:val="00F73D7F"/>
    <w:rsid w:val="00FB467F"/>
    <w:rsid w:val="00FD33AE"/>
    <w:rsid w:val="0A64289A"/>
    <w:rsid w:val="0D9BC95C"/>
    <w:rsid w:val="0D9E51C1"/>
    <w:rsid w:val="1A8239EA"/>
    <w:rsid w:val="237A1170"/>
    <w:rsid w:val="309FB466"/>
    <w:rsid w:val="3519DA90"/>
    <w:rsid w:val="37DEA431"/>
    <w:rsid w:val="508DDFC1"/>
    <w:rsid w:val="51FD468B"/>
    <w:rsid w:val="52259B34"/>
    <w:rsid w:val="53E0EE77"/>
    <w:rsid w:val="621EF6A1"/>
    <w:rsid w:val="6ADC29A0"/>
    <w:rsid w:val="6B8CF078"/>
    <w:rsid w:val="6FCC87F3"/>
    <w:rsid w:val="730428B5"/>
    <w:rsid w:val="76838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BED0"/>
  <w15:docId w15:val="{13767947-5FC5-40A1-8BFE-47DFCBC5C3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7EF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EF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2C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C3C"/>
  </w:style>
  <w:style w:type="paragraph" w:styleId="Footer">
    <w:name w:val="footer"/>
    <w:basedOn w:val="Normal"/>
    <w:link w:val="FooterChar"/>
    <w:uiPriority w:val="99"/>
    <w:unhideWhenUsed/>
    <w:rsid w:val="00102C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C3C"/>
  </w:style>
  <w:style w:type="paragraph" w:styleId="BalloonText">
    <w:name w:val="Balloon Text"/>
    <w:basedOn w:val="Normal"/>
    <w:link w:val="BalloonTextChar"/>
    <w:uiPriority w:val="99"/>
    <w:semiHidden/>
    <w:unhideWhenUsed/>
    <w:rsid w:val="005C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4A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8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4F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A6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lhsenglishdepartment/hom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361ff2bc3453403b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0CAcQjRw&amp;url=https://jupiter.inthehive.net/sites/littleheath/public/Main%20School%20Site/Forms/AllItems.aspx&amp;ei=JYVPVJDpMMjzatrogtgJ&amp;bvm=bv.77880786,d.ZGU&amp;psig=AFQjCNFlifAOQQfy9_aPk8MuxhN0SKzPkg&amp;ust=1414583970194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30B004E4030438EC8C74B8DAE3C6D" ma:contentTypeVersion="14" ma:contentTypeDescription="Create a new document." ma:contentTypeScope="" ma:versionID="500ca30de9a90ebe9f3029dbfd9631fa">
  <xsd:schema xmlns:xsd="http://www.w3.org/2001/XMLSchema" xmlns:xs="http://www.w3.org/2001/XMLSchema" xmlns:p="http://schemas.microsoft.com/office/2006/metadata/properties" xmlns:ns2="3ae4bebc-5183-402f-9a72-94513702be85" xmlns:ns3="0ff20ada-ea1e-4479-af96-12e7f68be8f6" targetNamespace="http://schemas.microsoft.com/office/2006/metadata/properties" ma:root="true" ma:fieldsID="7c9fb19ab756f0a1fc46873fade9387c" ns2:_="" ns3:_="">
    <xsd:import namespace="3ae4bebc-5183-402f-9a72-94513702be85"/>
    <xsd:import namespace="0ff20ada-ea1e-4479-af96-12e7f68be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bebc-5183-402f-9a72-94513702b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20ada-ea1e-4479-af96-12e7f68be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6787C-B11B-494B-81B7-702674D39338}"/>
</file>

<file path=customXml/itemProps2.xml><?xml version="1.0" encoding="utf-8"?>
<ds:datastoreItem xmlns:ds="http://schemas.openxmlformats.org/officeDocument/2006/customXml" ds:itemID="{7CA80B2F-8636-437D-B4EF-D589A5CAF438}"/>
</file>

<file path=customXml/itemProps3.xml><?xml version="1.0" encoding="utf-8"?>
<ds:datastoreItem xmlns:ds="http://schemas.openxmlformats.org/officeDocument/2006/customXml" ds:itemID="{E2A160E0-09F6-4A30-A738-5DBA069885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Canning</dc:creator>
  <cp:lastModifiedBy>Miss C Jones</cp:lastModifiedBy>
  <cp:revision>3</cp:revision>
  <cp:lastPrinted>2018-01-10T08:33:00Z</cp:lastPrinted>
  <dcterms:created xsi:type="dcterms:W3CDTF">2022-11-10T08:00:00Z</dcterms:created>
  <dcterms:modified xsi:type="dcterms:W3CDTF">2023-09-26T06:48:30Z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0x0101008E530B004E4030438EC8C74B8DAE3C6D</vt:lpwstr>
  </property>
</Properties>
</file>